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9C5E4" w14:textId="77777777" w:rsidR="00F218AA" w:rsidRDefault="001F2DB9" w:rsidP="00522FA2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Les résultats partiels sont à importer via le module dépôt de fichier de Loocs’Eaux au format indiqué dans l’Annexe 5.</w:t>
      </w:r>
      <w:r w:rsidR="00F218AA">
        <w:rPr>
          <w:rFonts w:ascii="Marianne" w:hAnsi="Marianne"/>
          <w:sz w:val="20"/>
          <w:szCs w:val="20"/>
        </w:rPr>
        <w:tab/>
      </w:r>
    </w:p>
    <w:p w14:paraId="6F999943" w14:textId="77777777" w:rsidR="00F218AA" w:rsidRDefault="001F2DB9" w:rsidP="00522FA2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P</w:t>
      </w:r>
      <w:r w:rsidRPr="001F2DB9">
        <w:rPr>
          <w:rFonts w:ascii="Marianne" w:hAnsi="Marianne"/>
          <w:sz w:val="20"/>
          <w:szCs w:val="20"/>
        </w:rPr>
        <w:t>our chaque dépassement d’une limite</w:t>
      </w:r>
      <w:r w:rsidR="00662750">
        <w:rPr>
          <w:rFonts w:ascii="Marianne" w:hAnsi="Marianne"/>
          <w:sz w:val="20"/>
          <w:szCs w:val="20"/>
        </w:rPr>
        <w:t xml:space="preserve">, </w:t>
      </w:r>
      <w:r w:rsidRPr="001F2DB9">
        <w:rPr>
          <w:rFonts w:ascii="Marianne" w:hAnsi="Marianne"/>
          <w:sz w:val="20"/>
          <w:szCs w:val="20"/>
        </w:rPr>
        <w:t xml:space="preserve">d’une référence de qualité </w:t>
      </w:r>
      <w:r w:rsidR="00662750">
        <w:rPr>
          <w:rFonts w:ascii="Marianne" w:hAnsi="Marianne"/>
          <w:sz w:val="20"/>
          <w:szCs w:val="20"/>
        </w:rPr>
        <w:t xml:space="preserve">ou d’une valeur de gestion spécifique </w:t>
      </w:r>
      <w:r w:rsidRPr="001F2DB9">
        <w:rPr>
          <w:rFonts w:ascii="Marianne" w:hAnsi="Marianne"/>
          <w:sz w:val="20"/>
          <w:szCs w:val="20"/>
        </w:rPr>
        <w:t>d’un ou plusieurs paramètres</w:t>
      </w:r>
      <w:r w:rsidR="00662750">
        <w:rPr>
          <w:rFonts w:ascii="Marianne" w:hAnsi="Marianne"/>
          <w:sz w:val="20"/>
          <w:szCs w:val="20"/>
        </w:rPr>
        <w:t xml:space="preserve"> ainsi que dans le cas d’une identification microbiologique nécessitant une analyse complémentaire (spécifique eaux de piscine)</w:t>
      </w:r>
      <w:r w:rsidRPr="001F2DB9">
        <w:rPr>
          <w:rFonts w:ascii="Marianne" w:hAnsi="Marianne"/>
          <w:sz w:val="20"/>
          <w:szCs w:val="20"/>
        </w:rPr>
        <w:t xml:space="preserve">, il est exigé l’envoi sans délai d’un </w:t>
      </w:r>
      <w:r w:rsidR="00F218AA">
        <w:rPr>
          <w:rFonts w:ascii="Marianne" w:hAnsi="Marianne"/>
          <w:sz w:val="20"/>
          <w:szCs w:val="20"/>
        </w:rPr>
        <w:t>fichier de résultats partiels</w:t>
      </w:r>
      <w:r w:rsidR="00F218AA">
        <w:rPr>
          <w:rFonts w:ascii="Marianne" w:hAnsi="Marianne"/>
          <w:sz w:val="20"/>
          <w:szCs w:val="20"/>
        </w:rPr>
        <w:tab/>
      </w:r>
    </w:p>
    <w:p w14:paraId="72998C95" w14:textId="77777777" w:rsidR="00F218AA" w:rsidRPr="001F2DB9" w:rsidRDefault="00F218AA" w:rsidP="00522FA2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</w:t>
      </w:r>
      <w:r w:rsidR="00DC18C7">
        <w:rPr>
          <w:rFonts w:ascii="Marianne" w:hAnsi="Marianne"/>
          <w:sz w:val="20"/>
          <w:szCs w:val="20"/>
        </w:rPr>
        <w:t>s</w:t>
      </w:r>
      <w:r>
        <w:rPr>
          <w:rFonts w:ascii="Marianne" w:hAnsi="Marianne"/>
          <w:sz w:val="20"/>
          <w:szCs w:val="20"/>
        </w:rPr>
        <w:t xml:space="preserve"> </w:t>
      </w:r>
      <w:r w:rsidR="00DC18C7">
        <w:rPr>
          <w:rFonts w:ascii="Marianne" w:hAnsi="Marianne"/>
          <w:sz w:val="20"/>
          <w:szCs w:val="20"/>
        </w:rPr>
        <w:t>délais</w:t>
      </w:r>
      <w:r>
        <w:rPr>
          <w:rFonts w:ascii="Marianne" w:hAnsi="Marianne"/>
          <w:sz w:val="20"/>
          <w:szCs w:val="20"/>
        </w:rPr>
        <w:t xml:space="preserve"> des </w:t>
      </w:r>
      <w:r w:rsidR="00DC18C7">
        <w:rPr>
          <w:rFonts w:ascii="Marianne" w:hAnsi="Marianne"/>
          <w:sz w:val="20"/>
          <w:szCs w:val="20"/>
        </w:rPr>
        <w:t>paramètres</w:t>
      </w:r>
      <w:r>
        <w:rPr>
          <w:rFonts w:ascii="Marianne" w:hAnsi="Marianne"/>
          <w:sz w:val="20"/>
          <w:szCs w:val="20"/>
        </w:rPr>
        <w:t xml:space="preserve"> ci-dessous pourront </w:t>
      </w:r>
      <w:r w:rsidR="00DC18C7">
        <w:rPr>
          <w:rFonts w:ascii="Marianne" w:hAnsi="Marianne"/>
          <w:sz w:val="20"/>
          <w:szCs w:val="20"/>
        </w:rPr>
        <w:t>être</w:t>
      </w:r>
      <w:r>
        <w:rPr>
          <w:rFonts w:ascii="Marianne" w:hAnsi="Marianne"/>
          <w:sz w:val="20"/>
          <w:szCs w:val="20"/>
        </w:rPr>
        <w:t xml:space="preserve"> </w:t>
      </w:r>
      <w:r w:rsidR="00DC18C7">
        <w:rPr>
          <w:rFonts w:ascii="Marianne" w:hAnsi="Marianne"/>
          <w:sz w:val="20"/>
          <w:szCs w:val="20"/>
        </w:rPr>
        <w:t xml:space="preserve">améliorés et notifiés dans </w:t>
      </w:r>
      <w:r>
        <w:rPr>
          <w:rFonts w:ascii="Marianne" w:hAnsi="Marianne"/>
          <w:sz w:val="20"/>
          <w:szCs w:val="20"/>
        </w:rPr>
        <w:t xml:space="preserve"> </w:t>
      </w:r>
      <w:r w:rsidR="00DC18C7">
        <w:rPr>
          <w:rFonts w:ascii="Marianne" w:hAnsi="Marianne"/>
          <w:sz w:val="20"/>
          <w:szCs w:val="20"/>
        </w:rPr>
        <w:t>l’offre du laboratoire.</w:t>
      </w: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2770"/>
        <w:gridCol w:w="2165"/>
        <w:gridCol w:w="1465"/>
        <w:gridCol w:w="1465"/>
        <w:gridCol w:w="1486"/>
      </w:tblGrid>
      <w:tr w:rsidR="00D07B21" w14:paraId="6AD4F83D" w14:textId="77777777" w:rsidTr="007B4049">
        <w:trPr>
          <w:trHeight w:val="589"/>
        </w:trPr>
        <w:tc>
          <w:tcPr>
            <w:tcW w:w="2770" w:type="dxa"/>
            <w:shd w:val="clear" w:color="auto" w:fill="DAEEF3" w:themeFill="accent5" w:themeFillTint="33"/>
            <w:vAlign w:val="center"/>
          </w:tcPr>
          <w:p w14:paraId="07B32A0A" w14:textId="77777777" w:rsidR="00D07B21" w:rsidRPr="00DC18C7" w:rsidRDefault="00D07B21" w:rsidP="00337DCB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Paramètres</w:t>
            </w:r>
          </w:p>
        </w:tc>
        <w:tc>
          <w:tcPr>
            <w:tcW w:w="2165" w:type="dxa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F60897C" w14:textId="77777777" w:rsidR="00D07B21" w:rsidRPr="00DC18C7" w:rsidRDefault="00D07B21" w:rsidP="00337DCB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DC18C7">
              <w:rPr>
                <w:rFonts w:ascii="Marianne" w:hAnsi="Marianne"/>
                <w:b/>
                <w:sz w:val="20"/>
                <w:szCs w:val="20"/>
              </w:rPr>
              <w:t>Délai</w:t>
            </w:r>
            <w:r>
              <w:rPr>
                <w:rFonts w:ascii="Marianne" w:hAnsi="Marianne"/>
                <w:b/>
                <w:sz w:val="20"/>
                <w:szCs w:val="20"/>
              </w:rPr>
              <w:t xml:space="preserve"> </w:t>
            </w:r>
            <w:r w:rsidRPr="00DC18C7">
              <w:rPr>
                <w:rFonts w:ascii="Marianne" w:hAnsi="Marianne"/>
                <w:b/>
                <w:sz w:val="20"/>
                <w:szCs w:val="20"/>
              </w:rPr>
              <w:t xml:space="preserve">maximum </w:t>
            </w:r>
            <w:r>
              <w:rPr>
                <w:rFonts w:ascii="Marianne" w:hAnsi="Marianne"/>
                <w:b/>
                <w:sz w:val="20"/>
                <w:szCs w:val="20"/>
              </w:rPr>
              <w:t>(*)</w:t>
            </w:r>
            <w:r w:rsidRPr="00DC18C7">
              <w:rPr>
                <w:rFonts w:ascii="Marianne" w:hAnsi="Marianne"/>
                <w:b/>
                <w:sz w:val="20"/>
                <w:szCs w:val="20"/>
              </w:rPr>
              <w:t xml:space="preserve"> pour le rendu de résultat</w:t>
            </w:r>
          </w:p>
        </w:tc>
        <w:tc>
          <w:tcPr>
            <w:tcW w:w="14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8761AB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 xml:space="preserve">Valeur seuil </w:t>
            </w:r>
          </w:p>
          <w:p w14:paraId="25BAAE45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>maximum (**)</w:t>
            </w:r>
          </w:p>
          <w:p w14:paraId="05BC5C0B" w14:textId="0E8A7244" w:rsidR="00D07B21" w:rsidRPr="007B4049" w:rsidRDefault="0078706D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EDCH</w:t>
            </w:r>
          </w:p>
        </w:tc>
        <w:tc>
          <w:tcPr>
            <w:tcW w:w="1465" w:type="dxa"/>
            <w:tcBorders>
              <w:right w:val="single" w:sz="4" w:space="0" w:color="auto"/>
            </w:tcBorders>
            <w:shd w:val="clear" w:color="auto" w:fill="auto"/>
          </w:tcPr>
          <w:p w14:paraId="2623D6B5" w14:textId="77777777" w:rsidR="00D07B21" w:rsidRPr="007B4049" w:rsidRDefault="00D07B21" w:rsidP="00337DC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 xml:space="preserve">Valeur seuil </w:t>
            </w:r>
          </w:p>
          <w:p w14:paraId="47F0A6E2" w14:textId="77777777" w:rsidR="00D07B21" w:rsidRPr="007B4049" w:rsidRDefault="00D07B21" w:rsidP="00337DC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>maximum (**)</w:t>
            </w:r>
          </w:p>
          <w:p w14:paraId="763F10BA" w14:textId="77777777" w:rsidR="00D07B21" w:rsidRPr="007B4049" w:rsidRDefault="00D07B21" w:rsidP="00337DCB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>ESCAN</w:t>
            </w:r>
          </w:p>
        </w:tc>
        <w:tc>
          <w:tcPr>
            <w:tcW w:w="1486" w:type="dxa"/>
            <w:tcBorders>
              <w:right w:val="single" w:sz="4" w:space="0" w:color="auto"/>
            </w:tcBorders>
            <w:shd w:val="clear" w:color="auto" w:fill="auto"/>
          </w:tcPr>
          <w:p w14:paraId="6C71AD99" w14:textId="77777777" w:rsidR="00D07B21" w:rsidRPr="007B4049" w:rsidRDefault="00D07B21" w:rsidP="00D07B21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 xml:space="preserve">Valeur seuil </w:t>
            </w:r>
          </w:p>
          <w:p w14:paraId="601DB480" w14:textId="77777777" w:rsidR="00D07B21" w:rsidRPr="007B4049" w:rsidRDefault="00D07B21" w:rsidP="00D07B21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>maximum (**)</w:t>
            </w:r>
          </w:p>
          <w:p w14:paraId="6EA27E52" w14:textId="77777777" w:rsidR="00D07B21" w:rsidRPr="007B4049" w:rsidRDefault="00D07B21" w:rsidP="00D07B21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>PISCINE</w:t>
            </w:r>
          </w:p>
        </w:tc>
      </w:tr>
      <w:tr w:rsidR="00D07B21" w14:paraId="1D516446" w14:textId="77777777" w:rsidTr="00D07B21">
        <w:trPr>
          <w:trHeight w:val="200"/>
        </w:trPr>
        <w:tc>
          <w:tcPr>
            <w:tcW w:w="2770" w:type="dxa"/>
          </w:tcPr>
          <w:p w14:paraId="07441E18" w14:textId="77777777" w:rsidR="00D07B21" w:rsidRPr="007B4049" w:rsidRDefault="00D07B21" w:rsidP="00522FA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7B4049">
              <w:rPr>
                <w:rFonts w:ascii="Marianne" w:hAnsi="Marianne"/>
                <w:b/>
                <w:sz w:val="20"/>
                <w:szCs w:val="20"/>
              </w:rPr>
              <w:t>Chlorures</w:t>
            </w:r>
          </w:p>
        </w:tc>
        <w:tc>
          <w:tcPr>
            <w:tcW w:w="2165" w:type="dxa"/>
            <w:tcBorders>
              <w:right w:val="single" w:sz="4" w:space="0" w:color="auto"/>
            </w:tcBorders>
            <w:vAlign w:val="center"/>
          </w:tcPr>
          <w:p w14:paraId="5B4341C7" w14:textId="17840BAF" w:rsidR="00D07B21" w:rsidRPr="007B4049" w:rsidRDefault="0078706D" w:rsidP="00522FA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2</w:t>
            </w:r>
            <w:r w:rsidR="00D07B21" w:rsidRPr="007B4049">
              <w:rPr>
                <w:rFonts w:ascii="Marianne" w:hAnsi="Marianne"/>
                <w:b/>
                <w:sz w:val="20"/>
                <w:szCs w:val="20"/>
              </w:rPr>
              <w:t xml:space="preserve"> jours ouvrés</w:t>
            </w:r>
          </w:p>
        </w:tc>
        <w:tc>
          <w:tcPr>
            <w:tcW w:w="1465" w:type="dxa"/>
            <w:tcBorders>
              <w:right w:val="single" w:sz="4" w:space="0" w:color="auto"/>
            </w:tcBorders>
            <w:vAlign w:val="center"/>
          </w:tcPr>
          <w:p w14:paraId="3E3F5EF0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>200 mg/L</w:t>
            </w:r>
          </w:p>
        </w:tc>
        <w:tc>
          <w:tcPr>
            <w:tcW w:w="1465" w:type="dxa"/>
            <w:tcBorders>
              <w:right w:val="single" w:sz="4" w:space="0" w:color="auto"/>
            </w:tcBorders>
          </w:tcPr>
          <w:p w14:paraId="2029E964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>250 mg/L</w:t>
            </w:r>
          </w:p>
        </w:tc>
        <w:tc>
          <w:tcPr>
            <w:tcW w:w="1486" w:type="dxa"/>
            <w:tcBorders>
              <w:right w:val="single" w:sz="4" w:space="0" w:color="auto"/>
            </w:tcBorders>
          </w:tcPr>
          <w:p w14:paraId="02EB70C2" w14:textId="17A5D44B" w:rsidR="00D07B21" w:rsidRPr="007B4049" w:rsidRDefault="0078706D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-</w:t>
            </w:r>
          </w:p>
        </w:tc>
      </w:tr>
      <w:tr w:rsidR="00D07B21" w14:paraId="6C22EEE7" w14:textId="77777777" w:rsidTr="00D07B21">
        <w:trPr>
          <w:trHeight w:val="200"/>
        </w:trPr>
        <w:tc>
          <w:tcPr>
            <w:tcW w:w="2770" w:type="dxa"/>
          </w:tcPr>
          <w:p w14:paraId="568081D6" w14:textId="77777777" w:rsidR="00D07B21" w:rsidRPr="007B4049" w:rsidRDefault="00D07B21" w:rsidP="00522FA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7B4049">
              <w:rPr>
                <w:rFonts w:ascii="Marianne" w:hAnsi="Marianne"/>
                <w:b/>
                <w:sz w:val="20"/>
                <w:szCs w:val="20"/>
              </w:rPr>
              <w:t>COT</w:t>
            </w:r>
          </w:p>
        </w:tc>
        <w:tc>
          <w:tcPr>
            <w:tcW w:w="2165" w:type="dxa"/>
            <w:tcBorders>
              <w:right w:val="single" w:sz="4" w:space="0" w:color="auto"/>
            </w:tcBorders>
            <w:vAlign w:val="center"/>
          </w:tcPr>
          <w:p w14:paraId="1B01C643" w14:textId="6BAFB5DE" w:rsidR="00D07B21" w:rsidRPr="007B4049" w:rsidRDefault="0078706D" w:rsidP="00522FA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 xml:space="preserve">2 </w:t>
            </w:r>
            <w:r w:rsidR="00D07B21" w:rsidRPr="007B4049">
              <w:rPr>
                <w:rFonts w:ascii="Marianne" w:hAnsi="Marianne"/>
                <w:b/>
                <w:sz w:val="20"/>
                <w:szCs w:val="20"/>
              </w:rPr>
              <w:t>jours ouvrés</w:t>
            </w:r>
          </w:p>
        </w:tc>
        <w:tc>
          <w:tcPr>
            <w:tcW w:w="1465" w:type="dxa"/>
            <w:tcBorders>
              <w:right w:val="single" w:sz="4" w:space="0" w:color="auto"/>
            </w:tcBorders>
            <w:vAlign w:val="center"/>
          </w:tcPr>
          <w:p w14:paraId="2E1FB1D0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>2 mg(C)/L</w:t>
            </w:r>
          </w:p>
        </w:tc>
        <w:tc>
          <w:tcPr>
            <w:tcW w:w="1465" w:type="dxa"/>
            <w:tcBorders>
              <w:right w:val="single" w:sz="4" w:space="0" w:color="auto"/>
            </w:tcBorders>
          </w:tcPr>
          <w:p w14:paraId="10F53841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>2 mg(C)/L</w:t>
            </w:r>
          </w:p>
        </w:tc>
        <w:tc>
          <w:tcPr>
            <w:tcW w:w="1486" w:type="dxa"/>
            <w:tcBorders>
              <w:right w:val="single" w:sz="4" w:space="0" w:color="auto"/>
            </w:tcBorders>
          </w:tcPr>
          <w:p w14:paraId="2A7BD83A" w14:textId="4FCDEF7A" w:rsidR="00D07B21" w:rsidRPr="007B4049" w:rsidRDefault="0078706D" w:rsidP="00662750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-</w:t>
            </w:r>
          </w:p>
        </w:tc>
      </w:tr>
      <w:tr w:rsidR="00D07B21" w14:paraId="04A50F22" w14:textId="77777777" w:rsidTr="00D07B21">
        <w:trPr>
          <w:trHeight w:val="200"/>
        </w:trPr>
        <w:tc>
          <w:tcPr>
            <w:tcW w:w="2770" w:type="dxa"/>
          </w:tcPr>
          <w:p w14:paraId="1333F8D9" w14:textId="77777777" w:rsidR="00D07B21" w:rsidRPr="007B4049" w:rsidRDefault="00D07B21" w:rsidP="00522FA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7B4049">
              <w:rPr>
                <w:rFonts w:ascii="Marianne" w:hAnsi="Marianne"/>
                <w:b/>
                <w:sz w:val="20"/>
                <w:szCs w:val="20"/>
              </w:rPr>
              <w:t>Ammonium</w:t>
            </w:r>
          </w:p>
        </w:tc>
        <w:tc>
          <w:tcPr>
            <w:tcW w:w="2165" w:type="dxa"/>
            <w:tcBorders>
              <w:right w:val="single" w:sz="4" w:space="0" w:color="auto"/>
            </w:tcBorders>
            <w:vAlign w:val="center"/>
          </w:tcPr>
          <w:p w14:paraId="4BDE6A15" w14:textId="0C8300BC" w:rsidR="00D07B21" w:rsidRPr="007B4049" w:rsidRDefault="0078706D" w:rsidP="00522FA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2</w:t>
            </w:r>
            <w:r w:rsidR="00D07B21" w:rsidRPr="007B4049">
              <w:rPr>
                <w:rFonts w:ascii="Marianne" w:hAnsi="Marianne"/>
                <w:b/>
                <w:sz w:val="20"/>
                <w:szCs w:val="20"/>
              </w:rPr>
              <w:t xml:space="preserve"> jours ouvrés</w:t>
            </w:r>
          </w:p>
        </w:tc>
        <w:tc>
          <w:tcPr>
            <w:tcW w:w="1465" w:type="dxa"/>
            <w:tcBorders>
              <w:right w:val="single" w:sz="4" w:space="0" w:color="auto"/>
            </w:tcBorders>
            <w:vAlign w:val="center"/>
          </w:tcPr>
          <w:p w14:paraId="2E988BE2" w14:textId="77777777" w:rsidR="00D07B21" w:rsidRPr="007B4049" w:rsidRDefault="00D07B21" w:rsidP="00C313B3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>0</w:t>
            </w:r>
            <w:r w:rsidR="00C313B3" w:rsidRPr="007B4049">
              <w:rPr>
                <w:rFonts w:ascii="Marianne" w:hAnsi="Marianne"/>
                <w:sz w:val="20"/>
                <w:szCs w:val="20"/>
              </w:rPr>
              <w:t>,</w:t>
            </w:r>
            <w:r w:rsidRPr="007B4049">
              <w:rPr>
                <w:rFonts w:ascii="Marianne" w:hAnsi="Marianne"/>
                <w:sz w:val="20"/>
                <w:szCs w:val="20"/>
              </w:rPr>
              <w:t>05 mg/L</w:t>
            </w:r>
          </w:p>
        </w:tc>
        <w:tc>
          <w:tcPr>
            <w:tcW w:w="1465" w:type="dxa"/>
            <w:tcBorders>
              <w:right w:val="single" w:sz="4" w:space="0" w:color="auto"/>
            </w:tcBorders>
          </w:tcPr>
          <w:p w14:paraId="2D3B384A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>0,1 mg/L</w:t>
            </w:r>
          </w:p>
        </w:tc>
        <w:tc>
          <w:tcPr>
            <w:tcW w:w="1486" w:type="dxa"/>
            <w:tcBorders>
              <w:right w:val="single" w:sz="4" w:space="0" w:color="auto"/>
            </w:tcBorders>
          </w:tcPr>
          <w:p w14:paraId="53EB4AE5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D07B21" w14:paraId="55F4D280" w14:textId="77777777" w:rsidTr="00D07B21">
        <w:trPr>
          <w:trHeight w:val="200"/>
        </w:trPr>
        <w:tc>
          <w:tcPr>
            <w:tcW w:w="2770" w:type="dxa"/>
          </w:tcPr>
          <w:p w14:paraId="4B4239F5" w14:textId="77777777" w:rsidR="00D07B21" w:rsidRPr="007B4049" w:rsidRDefault="00D07B21" w:rsidP="00522FA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7B4049">
              <w:rPr>
                <w:rFonts w:ascii="Marianne" w:hAnsi="Marianne"/>
                <w:b/>
                <w:sz w:val="20"/>
                <w:szCs w:val="20"/>
              </w:rPr>
              <w:t>Nitrates</w:t>
            </w:r>
          </w:p>
        </w:tc>
        <w:tc>
          <w:tcPr>
            <w:tcW w:w="2165" w:type="dxa"/>
            <w:tcBorders>
              <w:right w:val="single" w:sz="4" w:space="0" w:color="auto"/>
            </w:tcBorders>
            <w:vAlign w:val="center"/>
          </w:tcPr>
          <w:p w14:paraId="46B64518" w14:textId="16F51E34" w:rsidR="00D07B21" w:rsidRPr="007B4049" w:rsidRDefault="0078706D" w:rsidP="00522FA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2</w:t>
            </w:r>
            <w:r w:rsidR="00D07B21" w:rsidRPr="007B4049">
              <w:rPr>
                <w:rFonts w:ascii="Marianne" w:hAnsi="Marianne"/>
                <w:b/>
                <w:sz w:val="20"/>
                <w:szCs w:val="20"/>
              </w:rPr>
              <w:t xml:space="preserve"> jours ouvrés</w:t>
            </w:r>
          </w:p>
        </w:tc>
        <w:tc>
          <w:tcPr>
            <w:tcW w:w="1465" w:type="dxa"/>
            <w:tcBorders>
              <w:right w:val="single" w:sz="4" w:space="0" w:color="auto"/>
            </w:tcBorders>
            <w:vAlign w:val="center"/>
          </w:tcPr>
          <w:p w14:paraId="5985826F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>25 mg/L</w:t>
            </w:r>
          </w:p>
        </w:tc>
        <w:tc>
          <w:tcPr>
            <w:tcW w:w="1465" w:type="dxa"/>
            <w:tcBorders>
              <w:right w:val="single" w:sz="4" w:space="0" w:color="auto"/>
            </w:tcBorders>
          </w:tcPr>
          <w:p w14:paraId="71E9B88F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>10 mg/L</w:t>
            </w:r>
          </w:p>
        </w:tc>
        <w:tc>
          <w:tcPr>
            <w:tcW w:w="1486" w:type="dxa"/>
            <w:tcBorders>
              <w:right w:val="single" w:sz="4" w:space="0" w:color="auto"/>
            </w:tcBorders>
          </w:tcPr>
          <w:p w14:paraId="2E5A36CB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D07B21" w14:paraId="301A15AF" w14:textId="77777777" w:rsidTr="00D07B21">
        <w:trPr>
          <w:trHeight w:val="200"/>
        </w:trPr>
        <w:tc>
          <w:tcPr>
            <w:tcW w:w="2770" w:type="dxa"/>
          </w:tcPr>
          <w:p w14:paraId="2C3C60A7" w14:textId="77777777" w:rsidR="00D07B21" w:rsidRPr="007B4049" w:rsidRDefault="00D07B21" w:rsidP="00522FA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7B4049">
              <w:rPr>
                <w:rFonts w:ascii="Marianne" w:hAnsi="Marianne"/>
                <w:b/>
                <w:sz w:val="20"/>
                <w:szCs w:val="20"/>
              </w:rPr>
              <w:t>Nitrites</w:t>
            </w:r>
          </w:p>
        </w:tc>
        <w:tc>
          <w:tcPr>
            <w:tcW w:w="2165" w:type="dxa"/>
            <w:tcBorders>
              <w:right w:val="single" w:sz="4" w:space="0" w:color="auto"/>
            </w:tcBorders>
            <w:vAlign w:val="center"/>
          </w:tcPr>
          <w:p w14:paraId="2354AC94" w14:textId="5E3CA067" w:rsidR="00D07B21" w:rsidRPr="007B4049" w:rsidRDefault="0078706D" w:rsidP="00522FA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2</w:t>
            </w:r>
            <w:r w:rsidR="00D07B21" w:rsidRPr="007B4049">
              <w:rPr>
                <w:rFonts w:ascii="Marianne" w:hAnsi="Marianne"/>
                <w:b/>
                <w:sz w:val="20"/>
                <w:szCs w:val="20"/>
              </w:rPr>
              <w:t xml:space="preserve"> jours ouvrés</w:t>
            </w:r>
          </w:p>
        </w:tc>
        <w:tc>
          <w:tcPr>
            <w:tcW w:w="1465" w:type="dxa"/>
            <w:tcBorders>
              <w:right w:val="single" w:sz="4" w:space="0" w:color="auto"/>
            </w:tcBorders>
            <w:vAlign w:val="center"/>
          </w:tcPr>
          <w:p w14:paraId="026D6F4E" w14:textId="77777777" w:rsidR="00D07B21" w:rsidRPr="007B4049" w:rsidRDefault="00D07B21" w:rsidP="00C313B3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>0</w:t>
            </w:r>
            <w:r w:rsidR="00C313B3" w:rsidRPr="007B4049">
              <w:rPr>
                <w:rFonts w:ascii="Marianne" w:hAnsi="Marianne"/>
                <w:sz w:val="20"/>
                <w:szCs w:val="20"/>
              </w:rPr>
              <w:t>,</w:t>
            </w:r>
            <w:r w:rsidRPr="007B4049">
              <w:rPr>
                <w:rFonts w:ascii="Marianne" w:hAnsi="Marianne"/>
                <w:sz w:val="20"/>
                <w:szCs w:val="20"/>
              </w:rPr>
              <w:t>05 mg/L</w:t>
            </w:r>
          </w:p>
        </w:tc>
        <w:tc>
          <w:tcPr>
            <w:tcW w:w="1465" w:type="dxa"/>
            <w:tcBorders>
              <w:right w:val="single" w:sz="4" w:space="0" w:color="auto"/>
            </w:tcBorders>
          </w:tcPr>
          <w:p w14:paraId="3B53A607" w14:textId="77777777" w:rsidR="00D07B21" w:rsidRPr="007B4049" w:rsidRDefault="00D07B21" w:rsidP="00D07B21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>0,05 mg/L</w:t>
            </w:r>
          </w:p>
        </w:tc>
        <w:tc>
          <w:tcPr>
            <w:tcW w:w="1486" w:type="dxa"/>
            <w:tcBorders>
              <w:right w:val="single" w:sz="4" w:space="0" w:color="auto"/>
            </w:tcBorders>
          </w:tcPr>
          <w:p w14:paraId="13153835" w14:textId="77777777" w:rsidR="00D07B21" w:rsidRPr="007B4049" w:rsidRDefault="00D07B21" w:rsidP="00D07B21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D07B21" w14:paraId="5BBB842F" w14:textId="77777777" w:rsidTr="00D07B21">
        <w:trPr>
          <w:trHeight w:val="200"/>
        </w:trPr>
        <w:tc>
          <w:tcPr>
            <w:tcW w:w="2770" w:type="dxa"/>
          </w:tcPr>
          <w:p w14:paraId="73BE9889" w14:textId="77777777" w:rsidR="00D07B21" w:rsidRPr="007B4049" w:rsidRDefault="00D07B21" w:rsidP="00522FA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7B4049">
              <w:rPr>
                <w:rFonts w:ascii="Marianne" w:hAnsi="Marianne"/>
                <w:b/>
                <w:sz w:val="20"/>
                <w:szCs w:val="20"/>
              </w:rPr>
              <w:t>Fluorures</w:t>
            </w:r>
          </w:p>
        </w:tc>
        <w:tc>
          <w:tcPr>
            <w:tcW w:w="2165" w:type="dxa"/>
            <w:tcBorders>
              <w:right w:val="single" w:sz="4" w:space="0" w:color="auto"/>
            </w:tcBorders>
            <w:vAlign w:val="center"/>
          </w:tcPr>
          <w:p w14:paraId="71EEC849" w14:textId="48290C6C" w:rsidR="00D07B21" w:rsidRPr="007B4049" w:rsidRDefault="0078706D" w:rsidP="00522FA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2</w:t>
            </w:r>
            <w:r w:rsidR="00D07B21" w:rsidRPr="007B4049">
              <w:rPr>
                <w:rFonts w:ascii="Marianne" w:hAnsi="Marianne"/>
                <w:b/>
                <w:sz w:val="20"/>
                <w:szCs w:val="20"/>
              </w:rPr>
              <w:t xml:space="preserve"> jours ouvrés</w:t>
            </w:r>
          </w:p>
        </w:tc>
        <w:tc>
          <w:tcPr>
            <w:tcW w:w="1465" w:type="dxa"/>
            <w:tcBorders>
              <w:right w:val="single" w:sz="4" w:space="0" w:color="auto"/>
            </w:tcBorders>
            <w:vAlign w:val="center"/>
          </w:tcPr>
          <w:p w14:paraId="708696EC" w14:textId="77777777" w:rsidR="00D07B21" w:rsidRPr="007B4049" w:rsidRDefault="00F86E16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>1.5 mg/L</w:t>
            </w:r>
          </w:p>
        </w:tc>
        <w:tc>
          <w:tcPr>
            <w:tcW w:w="1465" w:type="dxa"/>
            <w:tcBorders>
              <w:right w:val="single" w:sz="4" w:space="0" w:color="auto"/>
            </w:tcBorders>
          </w:tcPr>
          <w:p w14:paraId="7658C60E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>0,3 mg/L</w:t>
            </w:r>
          </w:p>
        </w:tc>
        <w:tc>
          <w:tcPr>
            <w:tcW w:w="1486" w:type="dxa"/>
            <w:tcBorders>
              <w:right w:val="single" w:sz="4" w:space="0" w:color="auto"/>
            </w:tcBorders>
          </w:tcPr>
          <w:p w14:paraId="46B2FDB3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D07B21" w14:paraId="581DE679" w14:textId="77777777" w:rsidTr="00D07B21">
        <w:trPr>
          <w:trHeight w:val="200"/>
        </w:trPr>
        <w:tc>
          <w:tcPr>
            <w:tcW w:w="2770" w:type="dxa"/>
          </w:tcPr>
          <w:p w14:paraId="43CAD5D7" w14:textId="77777777" w:rsidR="00D07B21" w:rsidRPr="007B4049" w:rsidRDefault="00D07B21" w:rsidP="00522FA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7B4049">
              <w:rPr>
                <w:rFonts w:ascii="Marianne" w:hAnsi="Marianne"/>
                <w:b/>
                <w:sz w:val="20"/>
                <w:szCs w:val="20"/>
              </w:rPr>
              <w:t>Sulfates</w:t>
            </w:r>
          </w:p>
        </w:tc>
        <w:tc>
          <w:tcPr>
            <w:tcW w:w="2165" w:type="dxa"/>
            <w:tcBorders>
              <w:right w:val="single" w:sz="4" w:space="0" w:color="auto"/>
            </w:tcBorders>
            <w:vAlign w:val="center"/>
          </w:tcPr>
          <w:p w14:paraId="577A7FFB" w14:textId="77777777" w:rsidR="00D07B21" w:rsidRPr="007B4049" w:rsidRDefault="00D07B21" w:rsidP="00522FA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7B4049">
              <w:rPr>
                <w:rFonts w:ascii="Marianne" w:hAnsi="Marianne"/>
                <w:b/>
                <w:sz w:val="20"/>
                <w:szCs w:val="20"/>
              </w:rPr>
              <w:t>6 jours ouvrés</w:t>
            </w:r>
          </w:p>
        </w:tc>
        <w:tc>
          <w:tcPr>
            <w:tcW w:w="1465" w:type="dxa"/>
            <w:tcBorders>
              <w:right w:val="single" w:sz="4" w:space="0" w:color="auto"/>
            </w:tcBorders>
            <w:vAlign w:val="center"/>
          </w:tcPr>
          <w:p w14:paraId="118CA916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>250 mg/L</w:t>
            </w:r>
          </w:p>
        </w:tc>
        <w:tc>
          <w:tcPr>
            <w:tcW w:w="1465" w:type="dxa"/>
            <w:tcBorders>
              <w:right w:val="single" w:sz="4" w:space="0" w:color="auto"/>
            </w:tcBorders>
          </w:tcPr>
          <w:p w14:paraId="5C3F6FDB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>140 mg/L</w:t>
            </w:r>
          </w:p>
        </w:tc>
        <w:tc>
          <w:tcPr>
            <w:tcW w:w="1486" w:type="dxa"/>
            <w:tcBorders>
              <w:right w:val="single" w:sz="4" w:space="0" w:color="auto"/>
            </w:tcBorders>
          </w:tcPr>
          <w:p w14:paraId="08B30D9D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D07B21" w14:paraId="381B78F2" w14:textId="77777777" w:rsidTr="00D07B21">
        <w:trPr>
          <w:trHeight w:val="200"/>
        </w:trPr>
        <w:tc>
          <w:tcPr>
            <w:tcW w:w="2770" w:type="dxa"/>
          </w:tcPr>
          <w:p w14:paraId="0E1F90C5" w14:textId="77777777" w:rsidR="00D07B21" w:rsidRPr="007B4049" w:rsidRDefault="00D07B21" w:rsidP="00522FA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7B4049">
              <w:rPr>
                <w:rFonts w:ascii="Marianne" w:hAnsi="Marianne"/>
                <w:b/>
                <w:sz w:val="20"/>
                <w:szCs w:val="20"/>
              </w:rPr>
              <w:t>Fer total</w:t>
            </w:r>
          </w:p>
        </w:tc>
        <w:tc>
          <w:tcPr>
            <w:tcW w:w="2165" w:type="dxa"/>
            <w:tcBorders>
              <w:right w:val="single" w:sz="4" w:space="0" w:color="auto"/>
            </w:tcBorders>
            <w:vAlign w:val="center"/>
          </w:tcPr>
          <w:p w14:paraId="6C017CC0" w14:textId="77777777" w:rsidR="00D07B21" w:rsidRPr="007B4049" w:rsidRDefault="00D07B21" w:rsidP="00522FA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7B4049">
              <w:rPr>
                <w:rFonts w:ascii="Marianne" w:hAnsi="Marianne"/>
                <w:b/>
                <w:sz w:val="20"/>
                <w:szCs w:val="20"/>
              </w:rPr>
              <w:t>6 jours ouvrés</w:t>
            </w:r>
          </w:p>
        </w:tc>
        <w:tc>
          <w:tcPr>
            <w:tcW w:w="1465" w:type="dxa"/>
            <w:tcBorders>
              <w:right w:val="single" w:sz="4" w:space="0" w:color="auto"/>
            </w:tcBorders>
            <w:vAlign w:val="center"/>
          </w:tcPr>
          <w:p w14:paraId="101BD1E1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 xml:space="preserve">100 </w:t>
            </w:r>
            <w:r w:rsidRPr="007B4049">
              <w:rPr>
                <w:rFonts w:ascii="Calibri" w:hAnsi="Calibri" w:cs="Calibri"/>
                <w:sz w:val="20"/>
                <w:szCs w:val="20"/>
              </w:rPr>
              <w:t>µ</w:t>
            </w:r>
            <w:r w:rsidRPr="007B4049">
              <w:rPr>
                <w:rFonts w:ascii="Marianne" w:hAnsi="Marianne"/>
                <w:sz w:val="20"/>
                <w:szCs w:val="20"/>
              </w:rPr>
              <w:t>g/L</w:t>
            </w:r>
          </w:p>
        </w:tc>
        <w:tc>
          <w:tcPr>
            <w:tcW w:w="1465" w:type="dxa"/>
            <w:tcBorders>
              <w:right w:val="single" w:sz="4" w:space="0" w:color="auto"/>
            </w:tcBorders>
          </w:tcPr>
          <w:p w14:paraId="164F6F98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 xml:space="preserve">200 </w:t>
            </w:r>
            <w:r w:rsidRPr="007B4049">
              <w:rPr>
                <w:rFonts w:ascii="Calibri" w:hAnsi="Calibri" w:cs="Calibri"/>
                <w:sz w:val="20"/>
                <w:szCs w:val="20"/>
              </w:rPr>
              <w:t>µ</w:t>
            </w:r>
            <w:r w:rsidRPr="007B4049">
              <w:rPr>
                <w:rFonts w:ascii="Marianne" w:hAnsi="Marianne"/>
                <w:sz w:val="20"/>
                <w:szCs w:val="20"/>
              </w:rPr>
              <w:t>g/L</w:t>
            </w:r>
          </w:p>
        </w:tc>
        <w:tc>
          <w:tcPr>
            <w:tcW w:w="1486" w:type="dxa"/>
            <w:tcBorders>
              <w:right w:val="single" w:sz="4" w:space="0" w:color="auto"/>
            </w:tcBorders>
          </w:tcPr>
          <w:p w14:paraId="0078DF4F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D07B21" w14:paraId="63DD2F22" w14:textId="77777777" w:rsidTr="00D07B21">
        <w:trPr>
          <w:trHeight w:val="200"/>
        </w:trPr>
        <w:tc>
          <w:tcPr>
            <w:tcW w:w="2770" w:type="dxa"/>
          </w:tcPr>
          <w:p w14:paraId="10FBABF1" w14:textId="77777777" w:rsidR="00D07B21" w:rsidRPr="007B4049" w:rsidRDefault="00D07B21" w:rsidP="00522FA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7B4049">
              <w:rPr>
                <w:rFonts w:ascii="Marianne" w:hAnsi="Marianne"/>
                <w:b/>
                <w:sz w:val="20"/>
                <w:szCs w:val="20"/>
              </w:rPr>
              <w:t>Aluminium total</w:t>
            </w:r>
          </w:p>
        </w:tc>
        <w:tc>
          <w:tcPr>
            <w:tcW w:w="2165" w:type="dxa"/>
            <w:tcBorders>
              <w:right w:val="single" w:sz="4" w:space="0" w:color="auto"/>
            </w:tcBorders>
            <w:vAlign w:val="center"/>
          </w:tcPr>
          <w:p w14:paraId="21FFFB31" w14:textId="77777777" w:rsidR="00D07B21" w:rsidRPr="007B4049" w:rsidRDefault="00D07B21" w:rsidP="00522FA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7B4049">
              <w:rPr>
                <w:rFonts w:ascii="Marianne" w:hAnsi="Marianne"/>
                <w:b/>
                <w:sz w:val="20"/>
                <w:szCs w:val="20"/>
              </w:rPr>
              <w:t>6 jours ouvrés</w:t>
            </w:r>
          </w:p>
        </w:tc>
        <w:tc>
          <w:tcPr>
            <w:tcW w:w="1465" w:type="dxa"/>
            <w:tcBorders>
              <w:right w:val="single" w:sz="4" w:space="0" w:color="auto"/>
            </w:tcBorders>
            <w:vAlign w:val="center"/>
          </w:tcPr>
          <w:p w14:paraId="74545AF1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 xml:space="preserve">100 </w:t>
            </w:r>
            <w:r w:rsidRPr="007B4049">
              <w:rPr>
                <w:rFonts w:ascii="Calibri" w:hAnsi="Calibri" w:cs="Calibri"/>
                <w:sz w:val="20"/>
                <w:szCs w:val="20"/>
              </w:rPr>
              <w:t>µ</w:t>
            </w:r>
            <w:r w:rsidRPr="007B4049">
              <w:rPr>
                <w:rFonts w:ascii="Marianne" w:hAnsi="Marianne"/>
                <w:sz w:val="20"/>
                <w:szCs w:val="20"/>
              </w:rPr>
              <w:t>g/L</w:t>
            </w:r>
          </w:p>
        </w:tc>
        <w:tc>
          <w:tcPr>
            <w:tcW w:w="1465" w:type="dxa"/>
            <w:tcBorders>
              <w:right w:val="single" w:sz="4" w:space="0" w:color="auto"/>
            </w:tcBorders>
          </w:tcPr>
          <w:p w14:paraId="6331CF14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B4049">
              <w:rPr>
                <w:rFonts w:ascii="Marianne" w:hAnsi="Marianne"/>
                <w:sz w:val="20"/>
                <w:szCs w:val="20"/>
              </w:rPr>
              <w:t xml:space="preserve">200 </w:t>
            </w:r>
            <w:r w:rsidRPr="007B4049">
              <w:rPr>
                <w:rFonts w:ascii="Calibri" w:hAnsi="Calibri" w:cs="Calibri"/>
                <w:sz w:val="20"/>
                <w:szCs w:val="20"/>
              </w:rPr>
              <w:t>µ</w:t>
            </w:r>
            <w:r w:rsidRPr="007B4049">
              <w:rPr>
                <w:rFonts w:ascii="Marianne" w:hAnsi="Marianne"/>
                <w:sz w:val="20"/>
                <w:szCs w:val="20"/>
              </w:rPr>
              <w:t>g/L</w:t>
            </w:r>
          </w:p>
        </w:tc>
        <w:tc>
          <w:tcPr>
            <w:tcW w:w="1486" w:type="dxa"/>
            <w:tcBorders>
              <w:right w:val="single" w:sz="4" w:space="0" w:color="auto"/>
            </w:tcBorders>
          </w:tcPr>
          <w:p w14:paraId="08E2121A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D07B21" w14:paraId="2BA34A36" w14:textId="77777777" w:rsidTr="00D07B21">
        <w:trPr>
          <w:trHeight w:val="200"/>
        </w:trPr>
        <w:tc>
          <w:tcPr>
            <w:tcW w:w="2770" w:type="dxa"/>
          </w:tcPr>
          <w:p w14:paraId="37661454" w14:textId="4CBA7B70" w:rsidR="00D07B21" w:rsidRPr="007B4049" w:rsidRDefault="0078706D" w:rsidP="00522FA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Nickel</w:t>
            </w:r>
          </w:p>
        </w:tc>
        <w:tc>
          <w:tcPr>
            <w:tcW w:w="2165" w:type="dxa"/>
            <w:tcBorders>
              <w:right w:val="single" w:sz="4" w:space="0" w:color="auto"/>
            </w:tcBorders>
            <w:vAlign w:val="center"/>
          </w:tcPr>
          <w:p w14:paraId="6226A059" w14:textId="09EE6BCC" w:rsidR="00D07B21" w:rsidRPr="007B4049" w:rsidRDefault="0078706D" w:rsidP="00522FA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6 jours ouvrés</w:t>
            </w:r>
          </w:p>
        </w:tc>
        <w:tc>
          <w:tcPr>
            <w:tcW w:w="1465" w:type="dxa"/>
            <w:tcBorders>
              <w:right w:val="single" w:sz="4" w:space="0" w:color="auto"/>
            </w:tcBorders>
            <w:vAlign w:val="center"/>
          </w:tcPr>
          <w:p w14:paraId="7EE25B42" w14:textId="0541EA7F" w:rsidR="00D07B21" w:rsidRPr="007B4049" w:rsidRDefault="0078706D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78706D">
              <w:rPr>
                <w:rFonts w:ascii="Marianne" w:hAnsi="Marianne"/>
                <w:sz w:val="20"/>
                <w:szCs w:val="20"/>
              </w:rPr>
              <w:t xml:space="preserve">20 </w:t>
            </w:r>
            <w:r w:rsidRPr="0078706D">
              <w:rPr>
                <w:rFonts w:ascii="Cambria" w:hAnsi="Cambria" w:cs="Cambria"/>
                <w:sz w:val="20"/>
                <w:szCs w:val="20"/>
              </w:rPr>
              <w:t>µ</w:t>
            </w:r>
            <w:r w:rsidRPr="0078706D">
              <w:rPr>
                <w:rFonts w:ascii="Marianne" w:hAnsi="Marianne"/>
                <w:sz w:val="20"/>
                <w:szCs w:val="20"/>
              </w:rPr>
              <w:t>g/L</w:t>
            </w:r>
          </w:p>
        </w:tc>
        <w:tc>
          <w:tcPr>
            <w:tcW w:w="1465" w:type="dxa"/>
            <w:tcBorders>
              <w:right w:val="single" w:sz="4" w:space="0" w:color="auto"/>
            </w:tcBorders>
          </w:tcPr>
          <w:p w14:paraId="4CD3E684" w14:textId="472F494E" w:rsidR="00D07B21" w:rsidRPr="0078706D" w:rsidRDefault="0078706D" w:rsidP="00522FA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20 </w:t>
            </w:r>
            <w:r w:rsidRPr="0078706D">
              <w:rPr>
                <w:rFonts w:ascii="Calibri" w:hAnsi="Calibri" w:cs="Calibri"/>
                <w:sz w:val="20"/>
                <w:szCs w:val="20"/>
              </w:rPr>
              <w:t>µg/L</w:t>
            </w:r>
          </w:p>
        </w:tc>
        <w:tc>
          <w:tcPr>
            <w:tcW w:w="1486" w:type="dxa"/>
            <w:tcBorders>
              <w:right w:val="single" w:sz="4" w:space="0" w:color="auto"/>
            </w:tcBorders>
          </w:tcPr>
          <w:p w14:paraId="783F3363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78706D" w14:paraId="192BA9D7" w14:textId="77777777" w:rsidTr="00050DAD">
        <w:trPr>
          <w:trHeight w:val="200"/>
        </w:trPr>
        <w:tc>
          <w:tcPr>
            <w:tcW w:w="2770" w:type="dxa"/>
          </w:tcPr>
          <w:p w14:paraId="3840DF0F" w14:textId="11990299" w:rsidR="0078706D" w:rsidRDefault="0078706D" w:rsidP="0078706D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THM</w:t>
            </w:r>
          </w:p>
        </w:tc>
        <w:tc>
          <w:tcPr>
            <w:tcW w:w="2165" w:type="dxa"/>
            <w:tcBorders>
              <w:right w:val="single" w:sz="4" w:space="0" w:color="auto"/>
            </w:tcBorders>
            <w:vAlign w:val="center"/>
          </w:tcPr>
          <w:p w14:paraId="2BBA030A" w14:textId="4F24F53C" w:rsidR="0078706D" w:rsidRDefault="0078706D" w:rsidP="0078706D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6 jours ouvrés</w:t>
            </w:r>
          </w:p>
        </w:tc>
        <w:tc>
          <w:tcPr>
            <w:tcW w:w="1465" w:type="dxa"/>
            <w:tcBorders>
              <w:right w:val="single" w:sz="4" w:space="0" w:color="auto"/>
            </w:tcBorders>
          </w:tcPr>
          <w:p w14:paraId="1A136024" w14:textId="42CE8203" w:rsidR="0078706D" w:rsidRPr="0078706D" w:rsidRDefault="0078706D" w:rsidP="0078706D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E253E1">
              <w:t>100 µg/L</w:t>
            </w:r>
          </w:p>
        </w:tc>
        <w:tc>
          <w:tcPr>
            <w:tcW w:w="1465" w:type="dxa"/>
            <w:tcBorders>
              <w:right w:val="single" w:sz="4" w:space="0" w:color="auto"/>
            </w:tcBorders>
          </w:tcPr>
          <w:p w14:paraId="745BFFD2" w14:textId="46B8326C" w:rsidR="0078706D" w:rsidRDefault="0078706D" w:rsidP="0078706D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E253E1">
              <w:t>1 µg/L</w:t>
            </w:r>
            <w:r w:rsidR="00F62D4B">
              <w:t xml:space="preserve"> (*)</w:t>
            </w:r>
          </w:p>
        </w:tc>
        <w:tc>
          <w:tcPr>
            <w:tcW w:w="1486" w:type="dxa"/>
            <w:tcBorders>
              <w:right w:val="single" w:sz="4" w:space="0" w:color="auto"/>
            </w:tcBorders>
          </w:tcPr>
          <w:p w14:paraId="087204B8" w14:textId="52EC2D4B" w:rsidR="0078706D" w:rsidRPr="007B4049" w:rsidRDefault="0078706D" w:rsidP="0078706D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E253E1">
              <w:t>100 µg/L</w:t>
            </w:r>
          </w:p>
        </w:tc>
      </w:tr>
      <w:tr w:rsidR="00D07B21" w14:paraId="1842B1D9" w14:textId="77777777" w:rsidTr="00D07B21">
        <w:trPr>
          <w:trHeight w:val="801"/>
        </w:trPr>
        <w:tc>
          <w:tcPr>
            <w:tcW w:w="2770" w:type="dxa"/>
          </w:tcPr>
          <w:p w14:paraId="3262CD2A" w14:textId="77777777" w:rsidR="00D07B21" w:rsidRPr="007B4049" w:rsidRDefault="00D07B21" w:rsidP="00522FA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7B4049">
              <w:rPr>
                <w:rFonts w:ascii="Marianne" w:hAnsi="Marianne"/>
                <w:b/>
                <w:sz w:val="20"/>
                <w:szCs w:val="20"/>
              </w:rPr>
              <w:t>Microbiologie</w:t>
            </w:r>
          </w:p>
          <w:p w14:paraId="13658C0B" w14:textId="77777777" w:rsidR="00D07B21" w:rsidRPr="007B4049" w:rsidRDefault="00D07B21" w:rsidP="0076154A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7B4049">
              <w:rPr>
                <w:rFonts w:ascii="Marianne" w:hAnsi="Marianne"/>
                <w:b/>
                <w:sz w:val="20"/>
                <w:szCs w:val="20"/>
              </w:rPr>
              <w:t>(hors Légionnelles</w:t>
            </w:r>
            <w:r w:rsidR="0076154A" w:rsidRPr="007B4049">
              <w:rPr>
                <w:rFonts w:ascii="Marianne" w:hAnsi="Marianne"/>
                <w:b/>
                <w:sz w:val="20"/>
                <w:szCs w:val="20"/>
              </w:rPr>
              <w:t xml:space="preserve">, </w:t>
            </w:r>
            <w:r w:rsidR="0076154A" w:rsidRPr="007B4049">
              <w:rPr>
                <w:rFonts w:ascii="Marianne" w:hAnsi="Marianne"/>
                <w:b/>
                <w:i/>
                <w:sz w:val="20"/>
                <w:szCs w:val="20"/>
              </w:rPr>
              <w:t>Pseudomonas aeruginosa</w:t>
            </w:r>
            <w:r w:rsidR="0076154A" w:rsidRPr="007B4049">
              <w:rPr>
                <w:rFonts w:ascii="Marianne" w:hAnsi="Marianne"/>
                <w:b/>
                <w:sz w:val="20"/>
                <w:szCs w:val="20"/>
              </w:rPr>
              <w:t xml:space="preserve"> à J+3</w:t>
            </w:r>
            <w:r w:rsidRPr="007B4049">
              <w:rPr>
                <w:rFonts w:ascii="Marianne" w:hAnsi="Marianne"/>
                <w:b/>
                <w:sz w:val="20"/>
                <w:szCs w:val="20"/>
              </w:rPr>
              <w:t xml:space="preserve"> et identifications bactériennes complexes)</w:t>
            </w:r>
          </w:p>
        </w:tc>
        <w:tc>
          <w:tcPr>
            <w:tcW w:w="2165" w:type="dxa"/>
            <w:tcBorders>
              <w:right w:val="single" w:sz="4" w:space="0" w:color="auto"/>
            </w:tcBorders>
            <w:vAlign w:val="center"/>
          </w:tcPr>
          <w:p w14:paraId="39BA35EC" w14:textId="763E9004" w:rsidR="00D07B21" w:rsidRPr="007B4049" w:rsidRDefault="0078706D" w:rsidP="00522FA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2</w:t>
            </w:r>
            <w:r w:rsidR="00D07B21" w:rsidRPr="007B4049">
              <w:rPr>
                <w:rFonts w:ascii="Marianne" w:hAnsi="Marianne"/>
                <w:b/>
                <w:sz w:val="20"/>
                <w:szCs w:val="20"/>
              </w:rPr>
              <w:t xml:space="preserve"> jours </w:t>
            </w:r>
            <w:r>
              <w:rPr>
                <w:rFonts w:ascii="Marianne" w:hAnsi="Marianne"/>
                <w:b/>
                <w:sz w:val="20"/>
                <w:szCs w:val="20"/>
              </w:rPr>
              <w:t>calendaires</w:t>
            </w:r>
          </w:p>
        </w:tc>
        <w:tc>
          <w:tcPr>
            <w:tcW w:w="1465" w:type="dxa"/>
            <w:tcBorders>
              <w:right w:val="single" w:sz="4" w:space="0" w:color="auto"/>
            </w:tcBorders>
            <w:vAlign w:val="center"/>
          </w:tcPr>
          <w:p w14:paraId="37B373DB" w14:textId="77777777" w:rsidR="00D07B21" w:rsidRPr="007B4049" w:rsidRDefault="00D07B21" w:rsidP="0076154A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65" w:type="dxa"/>
            <w:tcBorders>
              <w:right w:val="single" w:sz="4" w:space="0" w:color="auto"/>
            </w:tcBorders>
          </w:tcPr>
          <w:p w14:paraId="7A705938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86" w:type="dxa"/>
            <w:tcBorders>
              <w:right w:val="single" w:sz="4" w:space="0" w:color="auto"/>
            </w:tcBorders>
          </w:tcPr>
          <w:p w14:paraId="431BB02E" w14:textId="77777777" w:rsidR="00D07B21" w:rsidRPr="007B4049" w:rsidRDefault="00D07B21" w:rsidP="00522FA2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0D5AE5C6" w14:textId="64D8266E" w:rsidR="00522FA2" w:rsidRPr="001F2DB9" w:rsidRDefault="00522FA2" w:rsidP="00522FA2">
      <w:r>
        <w:rPr>
          <w:rFonts w:ascii="Marianne" w:hAnsi="Marianne"/>
          <w:sz w:val="20"/>
          <w:szCs w:val="20"/>
        </w:rPr>
        <w:t>(*)</w:t>
      </w:r>
      <w:r w:rsidR="00662750">
        <w:rPr>
          <w:rFonts w:ascii="Calibri" w:hAnsi="Calibri" w:cs="Calibri"/>
          <w:sz w:val="20"/>
          <w:szCs w:val="20"/>
        </w:rPr>
        <w:t> </w:t>
      </w:r>
      <w:r w:rsidR="00662750">
        <w:rPr>
          <w:rFonts w:ascii="Marianne" w:hAnsi="Marianne"/>
          <w:sz w:val="20"/>
          <w:szCs w:val="20"/>
        </w:rPr>
        <w:t xml:space="preserve">: </w:t>
      </w:r>
      <w:r>
        <w:rPr>
          <w:rFonts w:ascii="Marianne" w:hAnsi="Marianne"/>
          <w:sz w:val="20"/>
          <w:szCs w:val="20"/>
        </w:rPr>
        <w:t xml:space="preserve">Délai maximum </w:t>
      </w:r>
      <w:r w:rsidR="00662750">
        <w:rPr>
          <w:rFonts w:ascii="Marianne" w:hAnsi="Marianne"/>
          <w:sz w:val="20"/>
          <w:szCs w:val="20"/>
        </w:rPr>
        <w:t xml:space="preserve">de transmission du résultat </w:t>
      </w:r>
      <w:r>
        <w:rPr>
          <w:rFonts w:ascii="Marianne" w:hAnsi="Marianne"/>
          <w:sz w:val="20"/>
          <w:szCs w:val="20"/>
        </w:rPr>
        <w:t>exprimé en jours ouvrés à compter du prélèvement</w:t>
      </w:r>
      <w:r w:rsidR="0078706D">
        <w:rPr>
          <w:rFonts w:ascii="Marianne" w:hAnsi="Marianne"/>
          <w:sz w:val="20"/>
          <w:szCs w:val="20"/>
        </w:rPr>
        <w:t xml:space="preserve"> pour les analyses chimiques et en jours calendaires pour les analyses microbiologiques</w:t>
      </w:r>
    </w:p>
    <w:p w14:paraId="732D9546" w14:textId="77777777" w:rsidR="001F2DB9" w:rsidRDefault="009705B6" w:rsidP="00522FA2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(*</w:t>
      </w:r>
      <w:r w:rsidR="00522FA2">
        <w:rPr>
          <w:rFonts w:ascii="Marianne" w:hAnsi="Marianne"/>
          <w:sz w:val="20"/>
          <w:szCs w:val="20"/>
        </w:rPr>
        <w:t>*</w:t>
      </w:r>
      <w:r>
        <w:rPr>
          <w:rFonts w:ascii="Marianne" w:hAnsi="Marianne"/>
          <w:sz w:val="20"/>
          <w:szCs w:val="20"/>
        </w:rPr>
        <w:t>)</w:t>
      </w:r>
      <w:r w:rsidR="00662750">
        <w:rPr>
          <w:rFonts w:ascii="Calibri" w:hAnsi="Calibri" w:cs="Calibri"/>
          <w:sz w:val="20"/>
          <w:szCs w:val="20"/>
        </w:rPr>
        <w:t> </w:t>
      </w:r>
      <w:r w:rsidR="00662750">
        <w:rPr>
          <w:rFonts w:ascii="Marianne" w:hAnsi="Marianne"/>
          <w:sz w:val="20"/>
          <w:szCs w:val="20"/>
        </w:rPr>
        <w:t>:</w:t>
      </w:r>
      <w:r>
        <w:rPr>
          <w:rFonts w:ascii="Marianne" w:hAnsi="Marianne"/>
          <w:sz w:val="20"/>
          <w:szCs w:val="20"/>
        </w:rPr>
        <w:t xml:space="preserve"> </w:t>
      </w:r>
      <w:r w:rsidR="00F14AB3">
        <w:rPr>
          <w:rFonts w:ascii="Marianne" w:hAnsi="Marianne"/>
          <w:sz w:val="20"/>
          <w:szCs w:val="20"/>
        </w:rPr>
        <w:t>Les valeurs seuils peuvent variées selon le type d’eau, le fichier complet sera transmi</w:t>
      </w:r>
      <w:r>
        <w:rPr>
          <w:rFonts w:ascii="Marianne" w:hAnsi="Marianne"/>
          <w:sz w:val="20"/>
          <w:szCs w:val="20"/>
        </w:rPr>
        <w:t>s ultérieurement et son actualisation pourra intervenir régulièrement.</w:t>
      </w:r>
    </w:p>
    <w:p w14:paraId="36C48F0C" w14:textId="77777777" w:rsidR="00662750" w:rsidRDefault="00662750" w:rsidP="00522FA2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(***) ESCAN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Marianne" w:hAnsi="Marianne"/>
          <w:sz w:val="20"/>
          <w:szCs w:val="20"/>
        </w:rPr>
        <w:t>: Eau de source (ou minérale) convient pour l’alimentation des nourrissons</w:t>
      </w:r>
    </w:p>
    <w:p w14:paraId="33F0AA9C" w14:textId="237335B3" w:rsidR="00F62D4B" w:rsidRDefault="00F62D4B" w:rsidP="00522FA2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(****) THM : par substance identifiée</w:t>
      </w:r>
    </w:p>
    <w:p w14:paraId="2DB09980" w14:textId="77777777" w:rsidR="00407642" w:rsidRPr="001F2DB9" w:rsidRDefault="009705B6" w:rsidP="00522FA2"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convient au laboratoire de compléter cette liste avec des paramètres listés dans l’annexe  1 avec  leurs délais de transmission.</w:t>
      </w:r>
    </w:p>
    <w:sectPr w:rsidR="00407642" w:rsidRPr="001F2DB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9BF0C" w14:textId="77777777" w:rsidR="00662750" w:rsidRDefault="00662750" w:rsidP="002A6E57">
      <w:pPr>
        <w:spacing w:after="0" w:line="240" w:lineRule="auto"/>
      </w:pPr>
      <w:r>
        <w:separator/>
      </w:r>
    </w:p>
  </w:endnote>
  <w:endnote w:type="continuationSeparator" w:id="0">
    <w:p w14:paraId="44F8BF56" w14:textId="77777777" w:rsidR="00662750" w:rsidRDefault="00662750" w:rsidP="002A6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E247B" w14:textId="77777777" w:rsidR="00662750" w:rsidRDefault="00662750" w:rsidP="002A6E57">
      <w:pPr>
        <w:spacing w:after="0" w:line="240" w:lineRule="auto"/>
      </w:pPr>
      <w:r>
        <w:separator/>
      </w:r>
    </w:p>
  </w:footnote>
  <w:footnote w:type="continuationSeparator" w:id="0">
    <w:p w14:paraId="1D8B23AF" w14:textId="77777777" w:rsidR="00662750" w:rsidRDefault="00662750" w:rsidP="002A6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B3B1C" w14:textId="77777777" w:rsidR="00662750" w:rsidRDefault="00662750">
    <w:pPr>
      <w:pStyle w:val="En-tte"/>
    </w:pPr>
  </w:p>
  <w:tbl>
    <w:tblPr>
      <w:tblW w:w="9776" w:type="dxa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9776"/>
    </w:tblGrid>
    <w:tr w:rsidR="00662750" w14:paraId="609E9036" w14:textId="77777777" w:rsidTr="00AD194F">
      <w:trPr>
        <w:trHeight w:val="384"/>
      </w:trPr>
      <w:tc>
        <w:tcPr>
          <w:tcW w:w="9776" w:type="dxa"/>
          <w:tcBorders>
            <w:top w:val="nil"/>
            <w:left w:val="nil"/>
            <w:bottom w:val="nil"/>
            <w:right w:val="nil"/>
          </w:tcBorders>
        </w:tcPr>
        <w:p w14:paraId="1C576A87" w14:textId="77777777" w:rsidR="00662750" w:rsidRDefault="00662750" w:rsidP="00AD194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28"/>
              <w:szCs w:val="28"/>
            </w:rPr>
          </w:pPr>
          <w:r>
            <w:rPr>
              <w:rFonts w:ascii="Arial" w:hAnsi="Arial" w:cs="Arial"/>
              <w:b/>
              <w:bCs/>
              <w:color w:val="000000"/>
              <w:sz w:val="28"/>
              <w:szCs w:val="28"/>
            </w:rPr>
            <w:t>Accord-cadre de services</w:t>
          </w:r>
        </w:p>
      </w:tc>
    </w:tr>
    <w:tr w:rsidR="00662750" w14:paraId="7FD78B70" w14:textId="77777777" w:rsidTr="00AD194F">
      <w:trPr>
        <w:trHeight w:val="336"/>
      </w:trPr>
      <w:tc>
        <w:tcPr>
          <w:tcW w:w="9776" w:type="dxa"/>
          <w:tcBorders>
            <w:top w:val="nil"/>
            <w:left w:val="nil"/>
            <w:bottom w:val="nil"/>
            <w:right w:val="nil"/>
          </w:tcBorders>
        </w:tcPr>
        <w:p w14:paraId="3E0F5949" w14:textId="77777777" w:rsidR="00662750" w:rsidRDefault="00662750" w:rsidP="00AD194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24"/>
              <w:szCs w:val="24"/>
            </w:rPr>
          </w:pPr>
          <w:r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>Cahier des clauses techniques particulières</w:t>
          </w:r>
        </w:p>
        <w:p w14:paraId="6DE10E0C" w14:textId="77777777" w:rsidR="00662750" w:rsidRDefault="00662750" w:rsidP="00AD194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24"/>
              <w:szCs w:val="24"/>
            </w:rPr>
          </w:pPr>
          <w:r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>Contrôle sanitaire des eaux à La Réunion</w:t>
          </w:r>
        </w:p>
        <w:p w14:paraId="6DE4DBF7" w14:textId="77777777" w:rsidR="00662750" w:rsidRDefault="00662750" w:rsidP="00AD194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24"/>
              <w:szCs w:val="24"/>
            </w:rPr>
          </w:pPr>
        </w:p>
      </w:tc>
    </w:tr>
    <w:tr w:rsidR="00662750" w14:paraId="1563E069" w14:textId="77777777" w:rsidTr="00AD194F">
      <w:trPr>
        <w:trHeight w:val="336"/>
      </w:trPr>
      <w:tc>
        <w:tcPr>
          <w:tcW w:w="9776" w:type="dxa"/>
          <w:tcBorders>
            <w:top w:val="nil"/>
            <w:left w:val="nil"/>
            <w:bottom w:val="nil"/>
            <w:right w:val="nil"/>
          </w:tcBorders>
        </w:tcPr>
        <w:p w14:paraId="0B0D3982" w14:textId="77777777" w:rsidR="00662750" w:rsidRDefault="00662750" w:rsidP="0076154A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hAnsi="Arial" w:cs="Arial"/>
              <w:b/>
              <w:bCs/>
              <w:color w:val="000000"/>
              <w:sz w:val="24"/>
              <w:szCs w:val="24"/>
            </w:rPr>
          </w:pPr>
          <w:r>
            <w:rPr>
              <w:rFonts w:ascii="Arial" w:hAnsi="Arial" w:cs="Arial"/>
              <w:b/>
              <w:bCs/>
              <w:color w:val="FF0000"/>
              <w:sz w:val="24"/>
              <w:szCs w:val="24"/>
            </w:rPr>
            <w:t xml:space="preserve">Annexe 10 </w:t>
          </w:r>
          <w:r w:rsidRPr="009851FB">
            <w:rPr>
              <w:rFonts w:ascii="Arial" w:hAnsi="Arial" w:cs="Arial"/>
              <w:b/>
              <w:bCs/>
              <w:color w:val="FF0000"/>
              <w:sz w:val="24"/>
              <w:szCs w:val="24"/>
            </w:rPr>
            <w:t xml:space="preserve"> </w:t>
          </w:r>
          <w:r>
            <w:rPr>
              <w:rFonts w:ascii="Arial" w:hAnsi="Arial" w:cs="Arial"/>
              <w:b/>
              <w:bCs/>
              <w:color w:val="000000"/>
              <w:sz w:val="24"/>
              <w:szCs w:val="24"/>
            </w:rPr>
            <w:t xml:space="preserve">– </w:t>
          </w:r>
          <w:r>
            <w:rPr>
              <w:rFonts w:ascii="Arial" w:hAnsi="Arial" w:cs="Arial"/>
              <w:b/>
              <w:bCs/>
              <w:i/>
              <w:color w:val="000000"/>
              <w:sz w:val="24"/>
              <w:szCs w:val="24"/>
            </w:rPr>
            <w:t xml:space="preserve">Délais de transmission des fichiers partiels </w:t>
          </w:r>
        </w:p>
      </w:tc>
    </w:tr>
  </w:tbl>
  <w:p w14:paraId="33A4C7C1" w14:textId="77777777" w:rsidR="00662750" w:rsidRDefault="0066275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0456A"/>
    <w:multiLevelType w:val="hybridMultilevel"/>
    <w:tmpl w:val="65E215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47F29"/>
    <w:multiLevelType w:val="hybridMultilevel"/>
    <w:tmpl w:val="F926AE94"/>
    <w:lvl w:ilvl="0" w:tplc="33F6B2AC">
      <w:start w:val="1"/>
      <w:numFmt w:val="bullet"/>
      <w:lvlText w:val="-"/>
      <w:lvlJc w:val="left"/>
      <w:pPr>
        <w:ind w:left="1776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665088116">
    <w:abstractNumId w:val="0"/>
  </w:num>
  <w:num w:numId="2" w16cid:durableId="1554190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5A"/>
    <w:rsid w:val="000240E4"/>
    <w:rsid w:val="000501DC"/>
    <w:rsid w:val="000B417B"/>
    <w:rsid w:val="001D386C"/>
    <w:rsid w:val="001D3A9B"/>
    <w:rsid w:val="001F2DB9"/>
    <w:rsid w:val="00250B8F"/>
    <w:rsid w:val="00292877"/>
    <w:rsid w:val="002A6E57"/>
    <w:rsid w:val="00314FB3"/>
    <w:rsid w:val="00337DCB"/>
    <w:rsid w:val="003C182D"/>
    <w:rsid w:val="00404913"/>
    <w:rsid w:val="00407642"/>
    <w:rsid w:val="00420F82"/>
    <w:rsid w:val="004C1C93"/>
    <w:rsid w:val="00522FA2"/>
    <w:rsid w:val="00650399"/>
    <w:rsid w:val="00662750"/>
    <w:rsid w:val="00662943"/>
    <w:rsid w:val="006A6D2B"/>
    <w:rsid w:val="006C1B1E"/>
    <w:rsid w:val="006E55B5"/>
    <w:rsid w:val="0076154A"/>
    <w:rsid w:val="0078706D"/>
    <w:rsid w:val="007A0A5A"/>
    <w:rsid w:val="007B4049"/>
    <w:rsid w:val="007F5117"/>
    <w:rsid w:val="00813CDB"/>
    <w:rsid w:val="008D1D08"/>
    <w:rsid w:val="0090072A"/>
    <w:rsid w:val="009013F2"/>
    <w:rsid w:val="0091431F"/>
    <w:rsid w:val="009705B6"/>
    <w:rsid w:val="009A6BF1"/>
    <w:rsid w:val="009D42D4"/>
    <w:rsid w:val="009F7750"/>
    <w:rsid w:val="00A24A99"/>
    <w:rsid w:val="00A85694"/>
    <w:rsid w:val="00AA5D37"/>
    <w:rsid w:val="00AD194F"/>
    <w:rsid w:val="00B120A9"/>
    <w:rsid w:val="00B136CA"/>
    <w:rsid w:val="00B25462"/>
    <w:rsid w:val="00B9487F"/>
    <w:rsid w:val="00BE1353"/>
    <w:rsid w:val="00C313B3"/>
    <w:rsid w:val="00C5343F"/>
    <w:rsid w:val="00CE4C0A"/>
    <w:rsid w:val="00CF1094"/>
    <w:rsid w:val="00D07B21"/>
    <w:rsid w:val="00D15227"/>
    <w:rsid w:val="00D62DC6"/>
    <w:rsid w:val="00DC18C7"/>
    <w:rsid w:val="00EB7E28"/>
    <w:rsid w:val="00F10B12"/>
    <w:rsid w:val="00F14AB3"/>
    <w:rsid w:val="00F218AA"/>
    <w:rsid w:val="00F33780"/>
    <w:rsid w:val="00F42024"/>
    <w:rsid w:val="00F54BD2"/>
    <w:rsid w:val="00F62D4B"/>
    <w:rsid w:val="00F73220"/>
    <w:rsid w:val="00F86E16"/>
    <w:rsid w:val="00FC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272C4"/>
  <w15:docId w15:val="{8C553E02-11E6-4CD8-8D14-91F700449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94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A0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0A5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7A0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A6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6E57"/>
  </w:style>
  <w:style w:type="paragraph" w:styleId="Pieddepage">
    <w:name w:val="footer"/>
    <w:basedOn w:val="Normal"/>
    <w:link w:val="PieddepageCar"/>
    <w:uiPriority w:val="99"/>
    <w:unhideWhenUsed/>
    <w:rsid w:val="002A6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6E57"/>
  </w:style>
  <w:style w:type="paragraph" w:styleId="Paragraphedeliste">
    <w:name w:val="List Paragraph"/>
    <w:basedOn w:val="Normal"/>
    <w:uiPriority w:val="34"/>
    <w:qFormat/>
    <w:rsid w:val="00CF1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C88FF-B509-4796-8B8F-14B6C0AB3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298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GOUROUVIN-VINGATA, Aurélie</dc:creator>
  <cp:lastModifiedBy>HUBE, Stéphane (ARS-REUNION)</cp:lastModifiedBy>
  <cp:revision>4</cp:revision>
  <cp:lastPrinted>2021-05-14T06:01:00Z</cp:lastPrinted>
  <dcterms:created xsi:type="dcterms:W3CDTF">2021-05-26T11:27:00Z</dcterms:created>
  <dcterms:modified xsi:type="dcterms:W3CDTF">2025-06-20T07:42:00Z</dcterms:modified>
</cp:coreProperties>
</file>